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5549076E" w:rsidR="00D57C8E" w:rsidRPr="00EE2373" w:rsidRDefault="00D57C8E" w:rsidP="00F03730">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EE2373">
              <w:rPr>
                <w:rFonts w:ascii="Arial" w:hAnsi="Arial" w:cs="Arial"/>
                <w:b/>
                <w:color w:val="FF0000"/>
                <w:sz w:val="24"/>
              </w:rPr>
              <w:t>S</w:t>
            </w:r>
            <w:r w:rsidR="00B14497" w:rsidRPr="00EE2373">
              <w:rPr>
                <w:rFonts w:ascii="Arial" w:hAnsi="Arial" w:cs="Arial"/>
                <w:b/>
                <w:color w:val="FF0000"/>
                <w:sz w:val="24"/>
              </w:rPr>
              <w:t xml:space="preserve"> </w:t>
            </w:r>
            <w:r w:rsidR="00DB0E1F">
              <w:rPr>
                <w:rFonts w:ascii="Arial" w:hAnsi="Arial" w:cs="Arial"/>
                <w:b/>
                <w:color w:val="FF0000"/>
                <w:sz w:val="24"/>
              </w:rPr>
              <w:t>25</w:t>
            </w:r>
            <w:r w:rsidR="003F5216" w:rsidRPr="00EE2373">
              <w:rPr>
                <w:rFonts w:ascii="Arial" w:hAnsi="Arial" w:cs="Arial"/>
                <w:b/>
                <w:color w:val="FF0000"/>
                <w:sz w:val="24"/>
              </w:rPr>
              <w:t xml:space="preserve"> </w:t>
            </w:r>
            <w:r w:rsidRPr="00EE2373">
              <w:rPr>
                <w:rFonts w:ascii="Arial" w:hAnsi="Arial" w:cs="Arial"/>
                <w:b/>
                <w:color w:val="FF0000"/>
                <w:sz w:val="24"/>
              </w:rPr>
              <w:t>B</w:t>
            </w:r>
            <w:r w:rsidR="00CD47AD" w:rsidRPr="00EE2373">
              <w:rPr>
                <w:rFonts w:ascii="Arial" w:hAnsi="Arial" w:cs="Arial"/>
                <w:b/>
                <w:color w:val="FF0000"/>
                <w:sz w:val="24"/>
              </w:rPr>
              <w:t xml:space="preserve"> </w:t>
            </w:r>
            <w:r w:rsidR="00791E90" w:rsidRPr="00EE2373">
              <w:rPr>
                <w:rFonts w:ascii="Arial" w:hAnsi="Arial" w:cs="Arial"/>
                <w:b/>
                <w:color w:val="FF0000"/>
                <w:sz w:val="24"/>
              </w:rPr>
              <w:t>00</w:t>
            </w:r>
            <w:r w:rsidR="001C45E6">
              <w:rPr>
                <w:rFonts w:ascii="Arial" w:hAnsi="Arial" w:cs="Arial"/>
                <w:b/>
                <w:color w:val="FF0000"/>
                <w:sz w:val="24"/>
              </w:rPr>
              <w:t xml:space="preserve"> </w:t>
            </w:r>
            <w:r w:rsidR="00F03730">
              <w:rPr>
                <w:rFonts w:ascii="Arial" w:hAnsi="Arial" w:cs="Arial"/>
                <w:b/>
                <w:color w:val="FF0000"/>
                <w:sz w:val="24"/>
              </w:rPr>
              <w:t>710</w:t>
            </w:r>
            <w:r w:rsidR="001C45E6">
              <w:rPr>
                <w:rFonts w:ascii="Arial" w:hAnsi="Arial" w:cs="Arial"/>
                <w:b/>
                <w:color w:val="FF0000"/>
                <w:sz w:val="24"/>
              </w:rPr>
              <w:t xml:space="preserve"> </w:t>
            </w:r>
            <w:r w:rsidR="00DB0E1F">
              <w:rPr>
                <w:rFonts w:ascii="Arial" w:hAnsi="Arial" w:cs="Arial"/>
                <w:b/>
                <w:color w:val="FF0000"/>
                <w:sz w:val="24"/>
              </w:rPr>
              <w:t>000</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0768CD72" w:rsidR="00D57C8E" w:rsidRPr="00EE2373" w:rsidRDefault="00D57C8E" w:rsidP="00F03730">
            <w:pPr>
              <w:spacing w:before="180" w:after="60"/>
              <w:rPr>
                <w:rFonts w:ascii="Arial" w:hAnsi="Arial" w:cs="Arial"/>
                <w:b/>
              </w:rPr>
            </w:pPr>
            <w:r w:rsidRPr="00EE2373">
              <w:rPr>
                <w:rFonts w:ascii="Arial" w:hAnsi="Arial" w:cs="Arial"/>
                <w:b/>
              </w:rPr>
              <w:t>Date de lancement de la procédure :</w:t>
            </w:r>
            <w:r w:rsidR="00F03730">
              <w:rPr>
                <w:rFonts w:ascii="Arial" w:hAnsi="Arial" w:cs="Arial"/>
                <w:b/>
              </w:rPr>
              <w:t>20</w:t>
            </w:r>
            <w:r w:rsidR="00DB0E1F">
              <w:rPr>
                <w:rFonts w:ascii="Arial" w:hAnsi="Arial" w:cs="Arial"/>
                <w:b/>
              </w:rPr>
              <w:t>/</w:t>
            </w:r>
            <w:r w:rsidR="00F03730">
              <w:rPr>
                <w:rFonts w:ascii="Arial" w:hAnsi="Arial" w:cs="Arial"/>
                <w:b/>
              </w:rPr>
              <w:t>10</w:t>
            </w:r>
            <w:r w:rsidR="00DB0E1F">
              <w:rPr>
                <w:rFonts w:ascii="Arial" w:hAnsi="Arial" w:cs="Arial"/>
                <w:b/>
              </w:rPr>
              <w:t>/2025</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0DC42069" w:rsidR="00D57C8E" w:rsidRPr="00EE2373" w:rsidRDefault="00D57C8E" w:rsidP="00F03730">
            <w:pPr>
              <w:spacing w:before="240" w:after="60"/>
              <w:jc w:val="both"/>
              <w:rPr>
                <w:rFonts w:ascii="Arial" w:hAnsi="Arial" w:cs="Arial"/>
                <w:b/>
              </w:rPr>
            </w:pPr>
            <w:r w:rsidRPr="00EE2373">
              <w:rPr>
                <w:rFonts w:ascii="Arial" w:hAnsi="Arial" w:cs="Arial"/>
                <w:b/>
              </w:rPr>
              <w:t>Objet :</w:t>
            </w:r>
            <w:r w:rsidR="00DB0E1F">
              <w:rPr>
                <w:rFonts w:ascii="Arial" w:hAnsi="Arial" w:cs="Arial"/>
                <w:b/>
              </w:rPr>
              <w:t xml:space="preserve"> A</w:t>
            </w:r>
            <w:r w:rsidR="00DB0E1F" w:rsidRPr="00DB0E1F">
              <w:rPr>
                <w:rFonts w:ascii="Arial" w:hAnsi="Arial" w:cs="Arial"/>
                <w:b/>
              </w:rPr>
              <w:t xml:space="preserve">pprovisionnement de </w:t>
            </w:r>
            <w:r w:rsidR="00F03730">
              <w:rPr>
                <w:rFonts w:ascii="Arial" w:hAnsi="Arial" w:cs="Arial"/>
                <w:b/>
              </w:rPr>
              <w:t>matériels de cuisine</w:t>
            </w:r>
            <w:r w:rsidR="00DB0E1F" w:rsidRPr="00DB0E1F">
              <w:rPr>
                <w:rFonts w:ascii="Arial" w:hAnsi="Arial" w:cs="Arial"/>
                <w:b/>
              </w:rPr>
              <w:t xml:space="preserve"> au profit de la Marine </w:t>
            </w:r>
            <w:r w:rsidR="00F03730">
              <w:rPr>
                <w:rFonts w:ascii="Arial" w:hAnsi="Arial" w:cs="Arial"/>
                <w:b/>
              </w:rPr>
              <w:t>n</w:t>
            </w:r>
            <w:r w:rsidR="00DB0E1F" w:rsidRPr="00DB0E1F">
              <w:rPr>
                <w:rFonts w:ascii="Arial" w:hAnsi="Arial" w:cs="Arial"/>
                <w:b/>
              </w:rPr>
              <w:t>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577EDB53" w14:textId="77777777" w:rsidR="00DB0E1F"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0E91CA9A" w:rsidR="005A16B4" w:rsidRPr="00EE2373" w:rsidRDefault="005A16B4" w:rsidP="005A16B4">
            <w:pPr>
              <w:tabs>
                <w:tab w:val="left" w:pos="8622"/>
              </w:tabs>
              <w:rPr>
                <w:rFonts w:ascii="Arial" w:hAnsi="Arial" w:cs="Arial"/>
                <w:b/>
                <w:bCs/>
                <w:sz w:val="18"/>
              </w:rPr>
            </w:pP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DB0E1F">
        <w:trPr>
          <w:cantSplit/>
          <w:trHeight w:val="922"/>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rsidP="00DB0E1F">
            <w:pPr>
              <w:spacing w:before="300" w:after="60"/>
              <w:jc w:val="center"/>
              <w:rPr>
                <w:rFonts w:ascii="Arial" w:hAnsi="Arial" w:cs="Arial"/>
                <w:b/>
                <w:bCs/>
              </w:rPr>
            </w:pPr>
            <w:r w:rsidRPr="00EE2373">
              <w:rPr>
                <w:rFonts w:ascii="Arial" w:hAnsi="Arial" w:cs="Arial"/>
                <w:b/>
                <w:bCs/>
              </w:rPr>
              <w:t>OFFRE (B2)</w:t>
            </w:r>
          </w:p>
        </w:tc>
      </w:tr>
      <w:tr w:rsidR="00D57C8E" w:rsidRPr="00EE2373" w14:paraId="0D9AB9CC" w14:textId="77777777" w:rsidTr="00DB0E1F">
        <w:trPr>
          <w:cantSplit/>
          <w:trHeight w:val="1418"/>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56E77C2" w:rsidR="00DB0E1F" w:rsidRDefault="00D57C8E">
            <w:pPr>
              <w:rPr>
                <w:rFonts w:ascii="Arial" w:hAnsi="Arial" w:cs="Arial"/>
                <w:b/>
                <w:bCs/>
              </w:rPr>
            </w:pPr>
            <w:r w:rsidRPr="00EE2373">
              <w:rPr>
                <w:rFonts w:ascii="Arial" w:hAnsi="Arial" w:cs="Arial"/>
                <w:b/>
              </w:rPr>
              <w:t>Délais de livraison</w:t>
            </w:r>
          </w:p>
          <w:p w14:paraId="344C5AE1" w14:textId="77777777" w:rsidR="00DB0E1F" w:rsidRPr="00DB0E1F" w:rsidRDefault="00DB0E1F" w:rsidP="00DB0E1F">
            <w:pPr>
              <w:rPr>
                <w:rFonts w:ascii="Arial" w:hAnsi="Arial" w:cs="Arial"/>
              </w:rPr>
            </w:pPr>
          </w:p>
          <w:p w14:paraId="0748932B" w14:textId="0D453D46" w:rsidR="00D57C8E" w:rsidRPr="00DB0E1F" w:rsidRDefault="00D57C8E" w:rsidP="00DB0E1F">
            <w:pPr>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4C463D78" w14:textId="2B5BC868" w:rsidR="00D57C8E" w:rsidRPr="00DB0E1F" w:rsidRDefault="00DB0E1F" w:rsidP="00DB0E1F">
            <w:pPr>
              <w:tabs>
                <w:tab w:val="left" w:pos="5252"/>
              </w:tabs>
            </w:pPr>
            <w: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91A91F5" w14:textId="62A3A533" w:rsidR="00DB0E1F" w:rsidRPr="00DB0E1F" w:rsidRDefault="00D57C8E" w:rsidP="00DB0E1F">
            <w:pPr>
              <w:pStyle w:val="Notedebasdepage"/>
              <w:spacing w:before="24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w:t>
            </w:r>
            <w:r w:rsidR="00DB0E1F">
              <w:rPr>
                <w:rFonts w:ascii="Arial" w:hAnsi="Arial" w:cs="Arial"/>
                <w:b/>
                <w:bCs/>
              </w:rPr>
              <w:t>E</w:t>
            </w:r>
          </w:p>
          <w:p w14:paraId="6C5B6A01" w14:textId="77777777" w:rsidR="00D57C8E" w:rsidRPr="00DB0E1F" w:rsidRDefault="00D57C8E" w:rsidP="00DB0E1F"/>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DB0E1F">
            <w:pPr>
              <w:spacing w:before="48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B623226" w:rsidR="005A16B4" w:rsidRPr="00EE2373" w:rsidRDefault="00F03730" w:rsidP="00626BF9">
            <w:pPr>
              <w:spacing w:before="480"/>
              <w:jc w:val="center"/>
              <w:rPr>
                <w:rFonts w:ascii="Arial" w:hAnsi="Arial" w:cs="Arial"/>
                <w:b/>
                <w:bCs/>
              </w:rPr>
            </w:pPr>
            <w:r>
              <w:rPr>
                <w:rFonts w:ascii="Arial" w:hAnsi="Arial" w:cs="Arial"/>
                <w:b/>
                <w:bCs/>
              </w:rPr>
              <w:t>26</w:t>
            </w:r>
            <w:r w:rsidR="00DB0E1F">
              <w:rPr>
                <w:rFonts w:ascii="Arial" w:hAnsi="Arial" w:cs="Arial"/>
                <w:b/>
                <w:bCs/>
              </w:rPr>
              <w:t>3</w:t>
            </w:r>
            <w:r w:rsidR="00626BF9">
              <w:rPr>
                <w:rFonts w:ascii="Arial" w:hAnsi="Arial" w:cs="Arial"/>
                <w:b/>
                <w:bCs/>
              </w:rPr>
              <w:t>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5D566B">
            <w:pPr>
              <w:spacing w:before="120" w:after="40"/>
              <w:rPr>
                <w:rFonts w:ascii="Arial" w:hAnsi="Arial" w:cs="Arial"/>
                <w:b/>
                <w:bCs/>
              </w:rPr>
            </w:pPr>
            <w:r w:rsidRPr="00EE2373">
              <w:rPr>
                <w:rFonts w:ascii="Arial" w:hAnsi="Arial" w:cs="Arial"/>
                <w:b/>
                <w:bCs/>
              </w:rPr>
              <w:t>Date :</w:t>
            </w:r>
          </w:p>
          <w:p w14:paraId="51FC08E6" w14:textId="77777777" w:rsidR="005A16B4" w:rsidRPr="00EE2373" w:rsidRDefault="005A16B4" w:rsidP="005D566B">
            <w:pPr>
              <w:spacing w:before="120" w:after="40"/>
              <w:rPr>
                <w:rFonts w:ascii="Arial" w:hAnsi="Arial" w:cs="Arial"/>
                <w:b/>
                <w:bCs/>
              </w:rPr>
            </w:pPr>
            <w:r w:rsidRPr="00EE2373">
              <w:rPr>
                <w:rFonts w:ascii="Arial" w:hAnsi="Arial" w:cs="Arial"/>
                <w:b/>
                <w:bCs/>
              </w:rPr>
              <w:t>Nom :</w:t>
            </w:r>
          </w:p>
          <w:p w14:paraId="4CEE4CBA" w14:textId="77777777" w:rsidR="005A16B4" w:rsidRPr="00EE2373" w:rsidRDefault="005A16B4" w:rsidP="005D566B">
            <w:pPr>
              <w:spacing w:before="120" w:after="40"/>
              <w:rPr>
                <w:rFonts w:ascii="Arial" w:hAnsi="Arial" w:cs="Arial"/>
                <w:b/>
                <w:bCs/>
              </w:rPr>
            </w:pPr>
            <w:r w:rsidRPr="00EE2373">
              <w:rPr>
                <w:rFonts w:ascii="Arial" w:hAnsi="Arial" w:cs="Arial"/>
                <w:b/>
                <w:bCs/>
              </w:rPr>
              <w:t>Prénom</w:t>
            </w:r>
          </w:p>
          <w:p w14:paraId="6D0247FF" w14:textId="77777777" w:rsidR="005A16B4" w:rsidRPr="00EE2373" w:rsidRDefault="005A16B4" w:rsidP="005D566B">
            <w:pPr>
              <w:spacing w:before="120" w:after="40"/>
              <w:rPr>
                <w:rFonts w:ascii="Arial" w:hAnsi="Arial" w:cs="Arial"/>
                <w:b/>
                <w:bCs/>
              </w:rPr>
            </w:pPr>
            <w:r w:rsidRPr="00EE2373">
              <w:rPr>
                <w:rFonts w:ascii="Arial" w:hAnsi="Arial" w:cs="Arial"/>
                <w:b/>
                <w:bCs/>
              </w:rPr>
              <w:t>Qualité :</w:t>
            </w:r>
          </w:p>
          <w:p w14:paraId="0B90E5F8" w14:textId="77777777" w:rsidR="005A16B4" w:rsidRPr="00EE2373" w:rsidRDefault="005A16B4" w:rsidP="005D566B">
            <w:pPr>
              <w:pStyle w:val="Objetducommentaire"/>
              <w:spacing w:before="12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DB0E1F">
            <w:pPr>
              <w:spacing w:before="48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1E983445" w:rsidR="005A16B4" w:rsidRPr="00EE2373" w:rsidRDefault="00DB0E1F" w:rsidP="00DB0E1F">
            <w:pPr>
              <w:spacing w:before="480"/>
              <w:jc w:val="center"/>
              <w:rPr>
                <w:rFonts w:ascii="Arial" w:hAnsi="Arial" w:cs="Arial"/>
                <w:b/>
                <w:bCs/>
              </w:rPr>
            </w:pPr>
            <w:r>
              <w:rPr>
                <w:rFonts w:ascii="Arial" w:hAnsi="Arial" w:cs="Arial"/>
                <w:b/>
                <w:bCs/>
              </w:rPr>
              <w:t>-</w:t>
            </w: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DB0E1F">
            <w:pPr>
              <w:spacing w:before="48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2CA5670" w:rsidR="005A16B4" w:rsidRPr="00EE2373" w:rsidRDefault="00DB0E1F" w:rsidP="00DB0E1F">
            <w:pPr>
              <w:spacing w:before="480"/>
              <w:jc w:val="center"/>
              <w:rPr>
                <w:rStyle w:val="Marquedecommentaire"/>
                <w:rFonts w:ascii="Arial" w:hAnsi="Arial" w:cs="Arial"/>
                <w:vanish/>
              </w:rPr>
            </w:pPr>
            <w:r>
              <w:rPr>
                <w:rFonts w:ascii="Arial" w:hAnsi="Arial" w:cs="Arial"/>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0B6D2BED"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00DB0E1F">
        <w:rPr>
          <w:rFonts w:ascii="Arial" w:hAnsi="Arial" w:cs="Arial"/>
          <w:b/>
          <w:bCs/>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5EFC8B80"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sidR="005D566B">
        <w:rPr>
          <w:rFonts w:ascii="Arial" w:hAnsi="Arial" w:cs="Arial"/>
          <w:caps w:val="0"/>
          <w:dstrike w:val="0"/>
          <w:szCs w:val="22"/>
        </w:rPr>
        <w:tab/>
      </w:r>
      <w:r w:rsidR="00AE3691" w:rsidRPr="00EE2373">
        <w:rPr>
          <w:rFonts w:ascii="Arial" w:hAnsi="Arial" w:cs="Arial"/>
          <w:caps w:val="0"/>
          <w:dstrike w:val="0"/>
          <w:szCs w:val="22"/>
        </w:rPr>
        <w:t>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 xml:space="preserve">e </w:t>
      </w:r>
      <w:r w:rsidR="005D566B">
        <w:rPr>
          <w:rFonts w:ascii="Arial" w:hAnsi="Arial" w:cs="Arial"/>
          <w:caps w:val="0"/>
          <w:dstrike w:val="0"/>
          <w:szCs w:val="22"/>
        </w:rPr>
        <w:tab/>
      </w:r>
      <w:r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03310180" w:rsidR="00D57C8E" w:rsidRPr="00EE2373" w:rsidRDefault="000702B8"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B0859">
        <w:rPr>
          <w:rFonts w:ascii="Arial" w:hAnsi="Arial" w:cs="Arial"/>
          <w:caps w:val="0"/>
          <w:dstrike w:val="0"/>
          <w:szCs w:val="22"/>
        </w:rPr>
        <w:t>l</w:t>
      </w:r>
      <w:r w:rsidR="00432739">
        <w:rPr>
          <w:rFonts w:ascii="Arial" w:hAnsi="Arial" w:cs="Arial"/>
          <w:caps w:val="0"/>
          <w:dstrike w:val="0"/>
          <w:szCs w:val="22"/>
        </w:rPr>
        <w:t>es</w:t>
      </w:r>
      <w:proofErr w:type="gramEnd"/>
      <w:r w:rsidRPr="00EB0859">
        <w:rPr>
          <w:rFonts w:ascii="Arial" w:hAnsi="Arial" w:cs="Arial"/>
          <w:caps w:val="0"/>
          <w:dstrike w:val="0"/>
          <w:szCs w:val="22"/>
        </w:rPr>
        <w:t xml:space="preserve"> SGA (Spécifications Générales d’Approvisionnement) </w:t>
      </w:r>
      <w:r w:rsidRPr="00EB0859">
        <w:rPr>
          <w:rFonts w:ascii="Arial" w:hAnsi="Arial" w:cs="Arial"/>
          <w:caps w:val="0"/>
          <w:dstrike w:val="0"/>
        </w:rPr>
        <w:t xml:space="preserve">de rechanges standards </w:t>
      </w:r>
      <w:r w:rsidRPr="00EB0859">
        <w:rPr>
          <w:rFonts w:ascii="Arial" w:hAnsi="Arial" w:cs="Arial"/>
          <w:b/>
          <w:caps w:val="0"/>
          <w:dstrike w:val="0"/>
        </w:rPr>
        <w:t>N°</w:t>
      </w:r>
      <w:r w:rsidRPr="00EB0859">
        <w:rPr>
          <w:rFonts w:ascii="Arial" w:hAnsi="Arial" w:cs="Arial"/>
          <w:caps w:val="0"/>
          <w:dstrike w:val="0"/>
          <w:szCs w:val="22"/>
        </w:rPr>
        <w:t> </w:t>
      </w:r>
      <w:r w:rsidRPr="00EB0859">
        <w:rPr>
          <w:rFonts w:ascii="Arial" w:hAnsi="Arial" w:cs="Arial"/>
          <w:b/>
          <w:caps w:val="0"/>
          <w:dstrike w:val="0"/>
        </w:rPr>
        <w:t>SDLOG/260/O</w:t>
      </w:r>
      <w:r w:rsidRPr="006C373E" w:rsidDel="006C373E">
        <w:rPr>
          <w:rFonts w:ascii="Arial" w:hAnsi="Arial" w:cs="Arial"/>
          <w:caps w:val="0"/>
          <w:dstrike w:val="0"/>
          <w:szCs w:val="22"/>
        </w:rPr>
        <w:t xml:space="preserve"> </w:t>
      </w:r>
      <w:r w:rsidR="00AE3691" w:rsidRPr="00EE2373">
        <w:rPr>
          <w:rFonts w:ascii="Arial" w:hAnsi="Arial" w:cs="Arial"/>
          <w:caps w:val="0"/>
          <w:dstrike w:val="0"/>
          <w:szCs w:val="22"/>
        </w:rPr>
        <w:t>;</w:t>
      </w:r>
    </w:p>
    <w:p w14:paraId="0C4FCF07" w14:textId="63357C37" w:rsidR="00D57C8E" w:rsidRDefault="00D57C8E" w:rsidP="005D566B">
      <w:pPr>
        <w:pStyle w:val="StylePuce1Aprs0cmAvant3ptAprs3pt"/>
        <w:numPr>
          <w:ilvl w:val="0"/>
          <w:numId w:val="13"/>
        </w:numPr>
        <w:tabs>
          <w:tab w:val="clear" w:pos="360"/>
          <w:tab w:val="num" w:pos="1134"/>
        </w:tabs>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5D566B">
        <w:rPr>
          <w:rFonts w:ascii="Arial" w:hAnsi="Arial" w:cs="Arial"/>
          <w:sz w:val="22"/>
          <w:szCs w:val="22"/>
        </w:rPr>
        <w:t>es commentaires.</w:t>
      </w:r>
    </w:p>
    <w:p w14:paraId="15EB235F" w14:textId="77777777" w:rsidR="005D566B" w:rsidRPr="00EE2373" w:rsidRDefault="005D566B" w:rsidP="005D566B">
      <w:pPr>
        <w:pStyle w:val="StylePuce1Aprs0cmAvant3ptAprs3pt"/>
        <w:numPr>
          <w:ilvl w:val="0"/>
          <w:numId w:val="0"/>
        </w:numPr>
        <w:ind w:left="1134"/>
        <w:jc w:val="both"/>
        <w:rPr>
          <w:rFonts w:ascii="Arial" w:hAnsi="Arial" w:cs="Arial"/>
          <w:sz w:val="22"/>
          <w:szCs w:val="22"/>
        </w:rPr>
      </w:pP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681BE4" w:rsidRDefault="00EB42C1" w:rsidP="00EB42C1">
      <w:pPr>
        <w:pStyle w:val="Listepuces"/>
        <w:rPr>
          <w:rFonts w:ascii="Arial" w:hAnsi="Arial" w:cs="Arial"/>
        </w:rPr>
      </w:pPr>
      <w:r w:rsidRPr="00D943D3">
        <w:rPr>
          <w:rFonts w:ascii="Arial" w:hAnsi="Arial" w:cs="Arial"/>
        </w:rPr>
        <w:t xml:space="preserve">Les prix unitaires des fournitures définis dans l’annexe financière de l’acte d’engagement sont réputés </w:t>
      </w:r>
      <w:r w:rsidRPr="00681BE4">
        <w:rPr>
          <w:rFonts w:ascii="Arial" w:hAnsi="Arial" w:cs="Arial"/>
        </w:rPr>
        <w:t>comprendre tous les frais afférents dont :</w:t>
      </w:r>
    </w:p>
    <w:p w14:paraId="074DE012" w14:textId="77777777" w:rsidR="00EB42C1" w:rsidRPr="00681BE4" w:rsidRDefault="00EB42C1" w:rsidP="00681BE4">
      <w:pPr>
        <w:pStyle w:val="Euro"/>
        <w:numPr>
          <w:ilvl w:val="0"/>
          <w:numId w:val="13"/>
        </w:numPr>
        <w:tabs>
          <w:tab w:val="clear" w:pos="360"/>
          <w:tab w:val="num" w:pos="1134"/>
        </w:tabs>
        <w:spacing w:before="0" w:after="0"/>
        <w:ind w:left="851" w:right="-28" w:firstLine="0"/>
        <w:rPr>
          <w:rFonts w:ascii="Arial" w:hAnsi="Arial" w:cs="Arial"/>
          <w:caps w:val="0"/>
          <w:dstrike w:val="0"/>
          <w:szCs w:val="22"/>
        </w:rPr>
      </w:pPr>
      <w:r w:rsidRPr="00681BE4">
        <w:rPr>
          <w:rFonts w:ascii="Arial" w:hAnsi="Arial" w:cs="Arial"/>
          <w:caps w:val="0"/>
          <w:dstrike w:val="0"/>
          <w:szCs w:val="22"/>
        </w:rPr>
        <w:t xml:space="preserve">Le conditionnement, l’emballage qui, par dérogation à l’article 20.2.2 du CCAG-FCS </w:t>
      </w:r>
      <w:r w:rsidRPr="00681BE4">
        <w:rPr>
          <w:rFonts w:ascii="Arial" w:hAnsi="Arial" w:cs="Arial"/>
          <w:caps w:val="0"/>
          <w:dstrike w:val="0"/>
          <w:szCs w:val="22"/>
        </w:rPr>
        <w:tab/>
        <w:t>devient propriété de l’Etat, l’étiquetage et la manutention,</w:t>
      </w:r>
    </w:p>
    <w:p w14:paraId="5199BDC6" w14:textId="1E5E2D27" w:rsidR="00EB42C1" w:rsidRPr="00681BE4" w:rsidRDefault="00EB42C1" w:rsidP="00681BE4">
      <w:pPr>
        <w:pStyle w:val="Euro"/>
        <w:numPr>
          <w:ilvl w:val="0"/>
          <w:numId w:val="13"/>
        </w:numPr>
        <w:tabs>
          <w:tab w:val="clear" w:pos="360"/>
          <w:tab w:val="num" w:pos="1134"/>
        </w:tabs>
        <w:spacing w:before="0" w:after="0"/>
        <w:ind w:left="851" w:right="-28" w:firstLine="0"/>
        <w:rPr>
          <w:rFonts w:ascii="Arial" w:hAnsi="Arial" w:cs="Arial"/>
          <w:caps w:val="0"/>
          <w:dstrike w:val="0"/>
          <w:szCs w:val="22"/>
        </w:rPr>
      </w:pPr>
      <w:r w:rsidRPr="00681BE4">
        <w:rPr>
          <w:rFonts w:ascii="Arial" w:hAnsi="Arial" w:cs="Arial"/>
          <w:caps w:val="0"/>
          <w:dstrike w:val="0"/>
          <w:szCs w:val="22"/>
        </w:rPr>
        <w:t>L’assurance,</w:t>
      </w:r>
    </w:p>
    <w:p w14:paraId="1DF6F787" w14:textId="3FED6E9C" w:rsidR="00681BE4" w:rsidRPr="00681BE4" w:rsidRDefault="00681BE4" w:rsidP="00681BE4">
      <w:pPr>
        <w:pStyle w:val="Paragraphedeliste"/>
        <w:numPr>
          <w:ilvl w:val="0"/>
          <w:numId w:val="13"/>
        </w:numPr>
        <w:ind w:left="1134" w:hanging="283"/>
        <w:rPr>
          <w:rFonts w:ascii="Arial" w:hAnsi="Arial" w:cs="Arial"/>
          <w:szCs w:val="22"/>
        </w:rPr>
      </w:pPr>
      <w:r w:rsidRPr="00681BE4">
        <w:rPr>
          <w:rFonts w:ascii="Arial" w:hAnsi="Arial" w:cs="Arial"/>
          <w:szCs w:val="22"/>
        </w:rPr>
        <w:t>L</w:t>
      </w:r>
      <w:r w:rsidRPr="00681BE4">
        <w:rPr>
          <w:rFonts w:ascii="Arial" w:hAnsi="Arial" w:cs="Arial"/>
          <w:szCs w:val="22"/>
        </w:rPr>
        <w:t>e code Système Harmonisé (</w:t>
      </w:r>
      <w:r w:rsidRPr="00681BE4">
        <w:rPr>
          <w:rFonts w:ascii="Arial" w:hAnsi="Arial" w:cs="Arial"/>
          <w:b/>
          <w:szCs w:val="22"/>
        </w:rPr>
        <w:t>code SH</w:t>
      </w:r>
      <w:r w:rsidRPr="00681BE4">
        <w:rPr>
          <w:rFonts w:ascii="Arial" w:hAnsi="Arial" w:cs="Arial"/>
          <w:szCs w:val="22"/>
        </w:rPr>
        <w:t xml:space="preserve">) : </w:t>
      </w:r>
      <w:r w:rsidRPr="00681BE4">
        <w:rPr>
          <w:rFonts w:ascii="Arial" w:hAnsi="Arial" w:cs="Arial"/>
          <w:color w:val="202122"/>
          <w:szCs w:val="22"/>
          <w:shd w:val="clear" w:color="auto" w:fill="FFFFFF"/>
        </w:rPr>
        <w:t>le </w:t>
      </w:r>
      <w:r w:rsidRPr="00681BE4">
        <w:rPr>
          <w:rFonts w:ascii="Arial" w:hAnsi="Arial" w:cs="Arial"/>
          <w:bCs/>
          <w:color w:val="202122"/>
          <w:szCs w:val="22"/>
          <w:shd w:val="clear" w:color="auto" w:fill="FFFFFF"/>
        </w:rPr>
        <w:t>Système Harmonisé de désignation et de codification des marchandises</w:t>
      </w:r>
      <w:r w:rsidRPr="00681BE4">
        <w:rPr>
          <w:rFonts w:ascii="Arial" w:hAnsi="Arial" w:cs="Arial"/>
          <w:color w:val="202122"/>
          <w:szCs w:val="22"/>
          <w:shd w:val="clear" w:color="auto" w:fill="FFFFFF"/>
        </w:rPr>
        <w:t> ou </w:t>
      </w:r>
      <w:r w:rsidRPr="00681BE4">
        <w:rPr>
          <w:rFonts w:ascii="Arial" w:hAnsi="Arial" w:cs="Arial"/>
          <w:bCs/>
          <w:color w:val="202122"/>
          <w:szCs w:val="22"/>
          <w:shd w:val="clear" w:color="auto" w:fill="FFFFFF"/>
        </w:rPr>
        <w:t>Système harmonisé</w:t>
      </w:r>
      <w:r w:rsidRPr="00681BE4">
        <w:rPr>
          <w:rFonts w:ascii="Arial" w:hAnsi="Arial" w:cs="Arial"/>
          <w:color w:val="202122"/>
          <w:szCs w:val="22"/>
          <w:shd w:val="clear" w:color="auto" w:fill="FFFFFF"/>
        </w:rPr>
        <w:t> (</w:t>
      </w:r>
      <w:r w:rsidRPr="00681BE4">
        <w:rPr>
          <w:rFonts w:ascii="Arial" w:hAnsi="Arial" w:cs="Arial"/>
          <w:bCs/>
          <w:color w:val="202122"/>
          <w:szCs w:val="22"/>
          <w:shd w:val="clear" w:color="auto" w:fill="FFFFFF"/>
        </w:rPr>
        <w:t>SH</w:t>
      </w:r>
      <w:r w:rsidRPr="00681BE4">
        <w:rPr>
          <w:rFonts w:ascii="Arial" w:hAnsi="Arial" w:cs="Arial"/>
          <w:color w:val="202122"/>
          <w:szCs w:val="22"/>
          <w:shd w:val="clear" w:color="auto" w:fill="FFFFFF"/>
        </w:rPr>
        <w:t xml:space="preserve">) est une nomenclature internationale développée </w:t>
      </w:r>
      <w:r w:rsidRPr="00681BE4">
        <w:rPr>
          <w:rFonts w:ascii="Arial" w:hAnsi="Arial" w:cs="Arial"/>
          <w:color w:val="000000"/>
          <w:szCs w:val="22"/>
          <w:shd w:val="clear" w:color="auto" w:fill="FFFFFF"/>
        </w:rPr>
        <w:t>par l'</w:t>
      </w:r>
      <w:hyperlink r:id="rId10" w:history="1">
        <w:r w:rsidRPr="00681BE4">
          <w:rPr>
            <w:rStyle w:val="Lienhypertexte"/>
            <w:rFonts w:ascii="Arial" w:hAnsi="Arial" w:cs="Arial"/>
            <w:color w:val="000000"/>
            <w:szCs w:val="22"/>
            <w:u w:val="none"/>
            <w:shd w:val="clear" w:color="auto" w:fill="FFFFFF"/>
          </w:rPr>
          <w:t>Organisation mondiale des douanes</w:t>
        </w:r>
      </w:hyperlink>
      <w:r w:rsidRPr="00681BE4">
        <w:rPr>
          <w:rFonts w:ascii="Arial" w:hAnsi="Arial" w:cs="Arial"/>
          <w:color w:val="000000"/>
          <w:szCs w:val="22"/>
          <w:shd w:val="clear" w:color="auto" w:fill="FFFFFF"/>
        </w:rPr>
        <w:t xml:space="preserve"> pour classer </w:t>
      </w:r>
      <w:r w:rsidRPr="00681BE4">
        <w:rPr>
          <w:rFonts w:ascii="Arial" w:hAnsi="Arial" w:cs="Arial"/>
          <w:color w:val="202122"/>
          <w:szCs w:val="22"/>
          <w:shd w:val="clear" w:color="auto" w:fill="FFFFFF"/>
        </w:rPr>
        <w:t>les produits échangés au niveau international.</w:t>
      </w:r>
    </w:p>
    <w:p w14:paraId="1212275B" w14:textId="77777777" w:rsidR="00EB42C1" w:rsidRPr="00D943D3" w:rsidRDefault="00EB42C1" w:rsidP="00681BE4">
      <w:pPr>
        <w:pStyle w:val="Euro"/>
        <w:numPr>
          <w:ilvl w:val="0"/>
          <w:numId w:val="13"/>
        </w:numPr>
        <w:tabs>
          <w:tab w:val="clear" w:pos="360"/>
          <w:tab w:val="num" w:pos="1134"/>
        </w:tabs>
        <w:spacing w:before="0" w:after="0"/>
        <w:ind w:left="851" w:right="-28" w:firstLine="0"/>
        <w:rPr>
          <w:rFonts w:ascii="Arial" w:hAnsi="Arial" w:cs="Arial"/>
          <w:caps w:val="0"/>
          <w:dstrike w:val="0"/>
          <w:szCs w:val="22"/>
        </w:rPr>
      </w:pPr>
      <w:r w:rsidRPr="00681BE4">
        <w:rPr>
          <w:rFonts w:ascii="Arial" w:hAnsi="Arial" w:cs="Arial"/>
          <w:caps w:val="0"/>
          <w:dstrike w:val="0"/>
          <w:szCs w:val="22"/>
        </w:rPr>
        <w:t>La garantie définie à l’article</w:t>
      </w:r>
      <w:r w:rsidRPr="00D943D3">
        <w:rPr>
          <w:rFonts w:ascii="Arial" w:hAnsi="Arial" w:cs="Arial"/>
          <w:caps w:val="0"/>
          <w:dstrike w:val="0"/>
          <w:szCs w:val="22"/>
        </w:rPr>
        <w:t xml:space="preserv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37ABF142" w:rsidR="00D57C8E" w:rsidRDefault="00D57C8E" w:rsidP="005D566B">
      <w:pPr>
        <w:pStyle w:val="Corpsdetexte"/>
        <w:spacing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de </w:t>
      </w:r>
      <w:r w:rsidR="00F03730">
        <w:rPr>
          <w:rFonts w:cs="Arial"/>
          <w:b/>
          <w:color w:val="000000" w:themeColor="text1"/>
          <w:sz w:val="28"/>
          <w:szCs w:val="28"/>
          <w:u w:val="single"/>
          <w:lang w:val="fr-FR"/>
        </w:rPr>
        <w:t>OCTOBRE</w:t>
      </w:r>
      <w:r w:rsidR="000702B8" w:rsidRPr="000702B8">
        <w:rPr>
          <w:rFonts w:cs="Arial"/>
          <w:b/>
          <w:color w:val="000000" w:themeColor="text1"/>
          <w:sz w:val="28"/>
          <w:szCs w:val="28"/>
          <w:u w:val="single"/>
          <w:lang w:val="fr-FR"/>
        </w:rPr>
        <w:t xml:space="preserve"> 2025</w:t>
      </w:r>
      <w:r w:rsidR="00456A5E" w:rsidRPr="000702B8">
        <w:rPr>
          <w:rFonts w:cs="Arial"/>
          <w:color w:val="000000" w:themeColor="text1"/>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619DB612" w14:textId="77777777" w:rsidR="005D566B" w:rsidRDefault="005D566B" w:rsidP="005D566B">
      <w:pPr>
        <w:pStyle w:val="Corpsdetexte"/>
        <w:spacing w:line="240" w:lineRule="auto"/>
        <w:ind w:left="567"/>
        <w:jc w:val="both"/>
        <w:rPr>
          <w:rFonts w:cs="Arial"/>
          <w:sz w:val="22"/>
          <w:szCs w:val="22"/>
        </w:rPr>
      </w:pP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5D566B">
      <w:pPr>
        <w:ind w:left="900"/>
        <w:jc w:val="center"/>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proofErr w:type="gramStart"/>
      <w:r w:rsidRPr="005D566B">
        <w:rPr>
          <w:rFonts w:ascii="Arial" w:hAnsi="Arial" w:cs="Arial"/>
          <w:sz w:val="22"/>
          <w:szCs w:val="22"/>
          <w:u w:val="single"/>
        </w:rPr>
        <w:t>dans</w:t>
      </w:r>
      <w:proofErr w:type="gramEnd"/>
      <w:r w:rsidRPr="005D566B">
        <w:rPr>
          <w:rFonts w:ascii="Arial" w:hAnsi="Arial" w:cs="Arial"/>
          <w:sz w:val="22"/>
          <w:szCs w:val="22"/>
          <w:u w:val="single"/>
        </w:rPr>
        <w:t xml:space="preserve"> laquelle</w:t>
      </w:r>
      <w:r w:rsidRPr="004C36E5">
        <w:rPr>
          <w:rFonts w:ascii="Arial" w:hAnsi="Arial" w:cs="Arial"/>
          <w:sz w:val="22"/>
          <w:szCs w:val="22"/>
        </w:rPr>
        <w:t>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251948CC" w:rsidR="00BA5DF3" w:rsidRDefault="00BA5DF3" w:rsidP="005D566B">
      <w:pPr>
        <w:spacing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560A76CD" w14:textId="4B78A251" w:rsidR="003D7664" w:rsidRDefault="003D7664" w:rsidP="005D566B">
      <w:pPr>
        <w:spacing w:after="120"/>
        <w:ind w:left="902"/>
        <w:jc w:val="both"/>
        <w:rPr>
          <w:rFonts w:ascii="Arial" w:hAnsi="Arial" w:cs="Arial"/>
          <w:bCs/>
          <w:sz w:val="22"/>
          <w:szCs w:val="22"/>
        </w:rPr>
      </w:pPr>
    </w:p>
    <w:p w14:paraId="6DF7D40A" w14:textId="77777777" w:rsidR="003D7664" w:rsidRPr="004C36E5" w:rsidRDefault="003D7664" w:rsidP="005D566B">
      <w:pPr>
        <w:spacing w:after="120"/>
        <w:ind w:left="902"/>
        <w:jc w:val="both"/>
        <w:rPr>
          <w:rFonts w:ascii="Arial" w:hAnsi="Arial" w:cs="Arial"/>
          <w:bCs/>
          <w:sz w:val="22"/>
          <w:szCs w:val="22"/>
        </w:rPr>
      </w:pPr>
    </w:p>
    <w:p w14:paraId="16016D79" w14:textId="77777777" w:rsidR="00BA5DF3" w:rsidRPr="004B3598" w:rsidRDefault="00BA5DF3" w:rsidP="005D566B">
      <w:pPr>
        <w:spacing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84B9B86" w:rsidR="00BA5DF3" w:rsidRDefault="00BA5DF3" w:rsidP="005D566B">
      <w:pPr>
        <w:tabs>
          <w:tab w:val="left" w:pos="1080"/>
        </w:tabs>
        <w:spacing w:before="60"/>
        <w:ind w:left="567"/>
        <w:jc w:val="both"/>
        <w:rPr>
          <w:rFonts w:ascii="Arial" w:hAnsi="Arial" w:cs="Arial"/>
          <w:bCs/>
          <w:color w:val="0000FF"/>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079A581F" w14:textId="77777777" w:rsidR="003D7664" w:rsidRDefault="003D7664" w:rsidP="005D566B">
      <w:pPr>
        <w:tabs>
          <w:tab w:val="left" w:pos="1080"/>
        </w:tabs>
        <w:spacing w:before="60"/>
        <w:ind w:left="567"/>
        <w:jc w:val="both"/>
        <w:rPr>
          <w:rFonts w:ascii="Arial" w:hAnsi="Arial" w:cs="Arial"/>
          <w:bCs/>
          <w:color w:val="0000FF"/>
          <w:sz w:val="22"/>
          <w:szCs w:val="22"/>
        </w:rPr>
      </w:pPr>
    </w:p>
    <w:p w14:paraId="4A6E9592" w14:textId="04719C60"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D566B">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D566B">
      <w:pPr>
        <w:pStyle w:val="Corpsdetexte"/>
        <w:spacing w:before="120" w:line="240" w:lineRule="auto"/>
        <w:ind w:left="567" w:right="-114"/>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6042E24" w14:textId="77777777" w:rsidR="00F03BFC" w:rsidRPr="00021A43" w:rsidRDefault="00F03BFC" w:rsidP="00EA5631">
      <w:pPr>
        <w:ind w:left="567"/>
        <w:jc w:val="both"/>
        <w:rPr>
          <w:rFonts w:ascii="Arial" w:hAnsi="Arial" w:cs="Arial"/>
          <w:sz w:val="22"/>
          <w:szCs w:val="22"/>
          <w:lang w:val="x-none" w:eastAsia="x-none"/>
        </w:rPr>
      </w:pPr>
    </w:p>
    <w:p w14:paraId="43E902BB" w14:textId="0B6614E8" w:rsidR="00F03BFC" w:rsidRPr="0019567E" w:rsidRDefault="0042652B" w:rsidP="00F03BFC">
      <w:pPr>
        <w:ind w:left="567"/>
        <w:jc w:val="both"/>
        <w:rPr>
          <w:rFonts w:ascii="Arial" w:hAnsi="Arial" w:cs="Arial"/>
          <w:sz w:val="22"/>
          <w:szCs w:val="22"/>
          <w:lang w:val="x-none" w:eastAsia="x-none"/>
        </w:rPr>
      </w:pPr>
      <w:r w:rsidRPr="0078739E">
        <w:rPr>
          <w:rFonts w:ascii="Arial" w:hAnsi="Arial" w:cs="Arial"/>
          <w:b/>
          <w:sz w:val="22"/>
          <w:szCs w:val="22"/>
          <w:u w:val="single"/>
          <w:lang w:val="x-none" w:eastAsia="x-none"/>
        </w:rPr>
        <w:t>Le remboursement de l’avance s’effectue de la façon suivante</w:t>
      </w:r>
      <w:r w:rsidRPr="0078739E">
        <w:rPr>
          <w:rFonts w:ascii="Arial" w:hAnsi="Arial" w:cs="Arial"/>
          <w:sz w:val="22"/>
          <w:szCs w:val="22"/>
          <w:lang w:val="x-none" w:eastAsia="x-none"/>
        </w:rPr>
        <w:t> </w:t>
      </w:r>
      <w:r w:rsidR="00F03BFC" w:rsidRPr="0019567E">
        <w:rPr>
          <w:rFonts w:ascii="Arial" w:hAnsi="Arial" w:cs="Arial"/>
          <w:sz w:val="22"/>
          <w:szCs w:val="22"/>
          <w:lang w:val="x-none" w:eastAsia="x-none"/>
        </w:rPr>
        <w:t>:</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0A132EB8"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5D566B">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EE2373" w:rsidRDefault="00D57C8E" w:rsidP="005D566B">
      <w:pPr>
        <w:tabs>
          <w:tab w:val="left" w:pos="4678"/>
        </w:tabs>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54DD3D64"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468915DF" w14:textId="77777777" w:rsidR="005D566B" w:rsidRPr="005D566B" w:rsidRDefault="005D566B" w:rsidP="005D566B"/>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2D61A2AB" w:rsidR="00EB42C1" w:rsidRDefault="00EB42C1" w:rsidP="00EB42C1">
      <w:pPr>
        <w:pStyle w:val="Corpsdetexte"/>
        <w:spacing w:line="240" w:lineRule="auto"/>
        <w:ind w:left="567"/>
        <w:jc w:val="both"/>
        <w:rPr>
          <w:rFonts w:cs="Arial"/>
          <w:sz w:val="22"/>
          <w:szCs w:val="22"/>
        </w:rPr>
      </w:pPr>
      <w:r w:rsidRPr="0073562D">
        <w:rPr>
          <w:rFonts w:cs="Arial"/>
          <w:sz w:val="22"/>
          <w:szCs w:val="22"/>
        </w:rPr>
        <w:t>Pour obtenir le versement de l’acompte, le titulaire adresse au service liquidateur de SSF Brest, la demande de paiement.</w:t>
      </w:r>
    </w:p>
    <w:p w14:paraId="6A7F46D4" w14:textId="31C30E3F" w:rsidR="00EB42C1" w:rsidRPr="0049774D" w:rsidRDefault="00EB42C1" w:rsidP="00EB42C1">
      <w:pPr>
        <w:tabs>
          <w:tab w:val="left" w:pos="1845"/>
        </w:tabs>
        <w:rPr>
          <w:lang w:val="x-none" w:eastAsia="x-none"/>
        </w:rPr>
      </w:pP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19761E89"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637E2A4F" w14:textId="77777777" w:rsidR="005D566B" w:rsidRPr="005D566B" w:rsidRDefault="005D566B" w:rsidP="00B500D8">
      <w:pPr>
        <w:pStyle w:val="Paragraphe1"/>
        <w:spacing w:before="0" w:after="0"/>
        <w:ind w:left="567" w:right="-28"/>
        <w:rPr>
          <w:rFonts w:ascii="Arial" w:hAnsi="Arial" w:cs="Arial"/>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5D566B">
        <w:rPr>
          <w:rFonts w:ascii="Arial" w:hAnsi="Arial" w:cs="Arial"/>
          <w:sz w:val="22"/>
          <w:szCs w:val="22"/>
          <w:u w:val="single"/>
        </w:rPr>
        <w:t>La demande de paiement comporte obligatoirement les mentions suivantes</w:t>
      </w:r>
      <w:r w:rsidRPr="00EE2373">
        <w:rPr>
          <w:rFonts w:ascii="Arial" w:hAnsi="Arial" w:cs="Arial"/>
          <w:sz w:val="22"/>
          <w:szCs w:val="22"/>
        </w:rPr>
        <w:t xml:space="preserve"> :</w:t>
      </w:r>
    </w:p>
    <w:p w14:paraId="338F501E" w14:textId="77777777" w:rsidR="00D57C8E" w:rsidRPr="005D566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5D566B">
        <w:rPr>
          <w:rFonts w:ascii="Arial" w:hAnsi="Arial" w:cs="Arial"/>
          <w:sz w:val="22"/>
          <w:szCs w:val="22"/>
        </w:rPr>
        <w:t>l’adresse</w:t>
      </w:r>
      <w:proofErr w:type="gramEnd"/>
      <w:r w:rsidRPr="005D566B">
        <w:rPr>
          <w:rFonts w:ascii="Arial" w:hAnsi="Arial" w:cs="Arial"/>
          <w:sz w:val="22"/>
          <w:szCs w:val="22"/>
        </w:rPr>
        <w:t xml:space="preserve"> du créancier, raison sociale, forme juridique, SIRET,</w:t>
      </w:r>
    </w:p>
    <w:p w14:paraId="1C0158FF" w14:textId="77777777" w:rsidR="00D57C8E" w:rsidRPr="005D566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proofErr w:type="gramStart"/>
      <w:r w:rsidRPr="005D566B">
        <w:rPr>
          <w:rFonts w:ascii="Arial" w:hAnsi="Arial" w:cs="Arial"/>
          <w:sz w:val="22"/>
          <w:szCs w:val="22"/>
        </w:rPr>
        <w:t>le</w:t>
      </w:r>
      <w:proofErr w:type="gramEnd"/>
      <w:r w:rsidRPr="005D566B">
        <w:rPr>
          <w:rFonts w:ascii="Arial" w:hAnsi="Arial" w:cs="Arial"/>
          <w:sz w:val="22"/>
          <w:szCs w:val="22"/>
        </w:rPr>
        <w:t xml:space="preserve"> nom de l’unité ou de l’organisme destinataire des fournitures,</w:t>
      </w:r>
    </w:p>
    <w:p w14:paraId="7ABFEB83" w14:textId="77777777" w:rsidR="00D57C8E" w:rsidRPr="005D566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proofErr w:type="gramStart"/>
      <w:r w:rsidRPr="005D566B">
        <w:rPr>
          <w:rFonts w:ascii="Arial" w:hAnsi="Arial" w:cs="Arial"/>
          <w:sz w:val="22"/>
          <w:szCs w:val="22"/>
        </w:rPr>
        <w:t>les</w:t>
      </w:r>
      <w:proofErr w:type="gramEnd"/>
      <w:r w:rsidRPr="005D566B">
        <w:rPr>
          <w:rFonts w:ascii="Arial" w:hAnsi="Arial" w:cs="Arial"/>
          <w:sz w:val="22"/>
          <w:szCs w:val="22"/>
        </w:rPr>
        <w:t xml:space="preserve">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5D566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5D566B">
        <w:rPr>
          <w:rFonts w:ascii="Arial" w:hAnsi="Arial" w:cs="Arial"/>
          <w:sz w:val="22"/>
          <w:szCs w:val="22"/>
        </w:rPr>
        <w:t>la</w:t>
      </w:r>
      <w:proofErr w:type="gramEnd"/>
      <w:r w:rsidRPr="005D566B">
        <w:rPr>
          <w:rFonts w:ascii="Arial" w:hAnsi="Arial" w:cs="Arial"/>
          <w:sz w:val="22"/>
          <w:szCs w:val="22"/>
        </w:rPr>
        <w:t xml:space="preserve"> référence du marché,  </w:t>
      </w:r>
    </w:p>
    <w:p w14:paraId="349467F6" w14:textId="63E1D2C8" w:rsidR="00D57C8E" w:rsidRPr="005D566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5D566B">
        <w:rPr>
          <w:rFonts w:ascii="Arial" w:hAnsi="Arial" w:cs="Arial"/>
          <w:sz w:val="22"/>
          <w:szCs w:val="22"/>
        </w:rPr>
        <w:t>le</w:t>
      </w:r>
      <w:proofErr w:type="gramEnd"/>
      <w:r w:rsidRPr="005D566B">
        <w:rPr>
          <w:rFonts w:ascii="Arial" w:hAnsi="Arial" w:cs="Arial"/>
          <w:sz w:val="22"/>
          <w:szCs w:val="22"/>
        </w:rPr>
        <w:t xml:space="preserve"> N° de l’engagement juridique indiqué </w:t>
      </w:r>
      <w:r w:rsidR="00EB42C1" w:rsidRPr="005D566B">
        <w:rPr>
          <w:rFonts w:ascii="Arial" w:hAnsi="Arial" w:cs="Arial"/>
          <w:sz w:val="22"/>
          <w:szCs w:val="22"/>
        </w:rPr>
        <w:t>dans la lettre de notification du MAPA</w:t>
      </w:r>
      <w:r w:rsidRPr="005D566B">
        <w:rPr>
          <w:rFonts w:ascii="Arial" w:hAnsi="Arial" w:cs="Arial"/>
          <w:sz w:val="22"/>
          <w:szCs w:val="22"/>
        </w:rPr>
        <w:t>,</w:t>
      </w:r>
    </w:p>
    <w:p w14:paraId="3C650F8D" w14:textId="77777777" w:rsidR="00D57C8E" w:rsidRPr="005D566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5D566B">
        <w:rPr>
          <w:rFonts w:ascii="Arial" w:hAnsi="Arial" w:cs="Arial"/>
          <w:sz w:val="22"/>
          <w:szCs w:val="22"/>
        </w:rPr>
        <w:t>le</w:t>
      </w:r>
      <w:proofErr w:type="gramEnd"/>
      <w:r w:rsidRPr="005D566B">
        <w:rPr>
          <w:rFonts w:ascii="Arial" w:hAnsi="Arial" w:cs="Arial"/>
          <w:sz w:val="22"/>
          <w:szCs w:val="22"/>
        </w:rPr>
        <w:t xml:space="preserve"> montant hors taxes et toutes taxes comprises de la demande </w:t>
      </w:r>
      <w:r w:rsidR="001E5E8F" w:rsidRPr="005D566B">
        <w:rPr>
          <w:rFonts w:ascii="Arial" w:hAnsi="Arial" w:cs="Arial"/>
          <w:sz w:val="22"/>
          <w:szCs w:val="22"/>
        </w:rPr>
        <w:t>de paiement,</w:t>
      </w:r>
    </w:p>
    <w:p w14:paraId="0C125D22" w14:textId="77777777" w:rsidR="001E5E8F" w:rsidRPr="005D566B" w:rsidRDefault="001E5E8F" w:rsidP="001E5E8F">
      <w:pPr>
        <w:pStyle w:val="corpsdetextebea"/>
        <w:numPr>
          <w:ilvl w:val="0"/>
          <w:numId w:val="18"/>
        </w:numPr>
        <w:tabs>
          <w:tab w:val="left" w:pos="1418"/>
        </w:tabs>
        <w:spacing w:before="0" w:after="0"/>
        <w:ind w:firstLine="774"/>
        <w:rPr>
          <w:rFonts w:ascii="Arial" w:hAnsi="Arial" w:cs="Arial"/>
          <w:szCs w:val="22"/>
        </w:rPr>
      </w:pPr>
      <w:proofErr w:type="gramStart"/>
      <w:r w:rsidRPr="005D566B">
        <w:rPr>
          <w:rFonts w:ascii="Arial" w:hAnsi="Arial" w:cs="Arial"/>
          <w:szCs w:val="22"/>
        </w:rPr>
        <w:t>le</w:t>
      </w:r>
      <w:proofErr w:type="gramEnd"/>
      <w:r w:rsidRPr="005D566B">
        <w:rPr>
          <w:rFonts w:ascii="Arial" w:hAnsi="Arial" w:cs="Arial"/>
          <w:szCs w:val="22"/>
        </w:rPr>
        <w:t xml:space="preserve"> numéro du service exécutant : « D2225XC029 ».</w:t>
      </w:r>
    </w:p>
    <w:p w14:paraId="378B8AB6" w14:textId="77777777" w:rsidR="00CD607A" w:rsidRPr="005D566B" w:rsidRDefault="00CD607A" w:rsidP="00CD607A">
      <w:pPr>
        <w:spacing w:before="120"/>
        <w:ind w:left="567"/>
        <w:jc w:val="both"/>
        <w:rPr>
          <w:rFonts w:ascii="Arial" w:hAnsi="Arial" w:cs="Arial"/>
          <w:sz w:val="22"/>
          <w:szCs w:val="22"/>
        </w:rPr>
      </w:pPr>
      <w:r w:rsidRPr="005D566B">
        <w:rPr>
          <w:rFonts w:ascii="Arial" w:hAnsi="Arial" w:cs="Arial"/>
          <w:sz w:val="22"/>
          <w:szCs w:val="22"/>
        </w:rPr>
        <w:t xml:space="preserve">La demande de paiement est communiquée au service selon les modalités du paragraphe 9. </w:t>
      </w:r>
    </w:p>
    <w:p w14:paraId="5754B129" w14:textId="176A1FEB" w:rsidR="007F0DF0" w:rsidRDefault="007F0DF0"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3685EF52" w:rsidR="003C24A4"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4B3AE17F" w14:textId="77777777" w:rsidR="004524BB" w:rsidRPr="007F0DF0" w:rsidRDefault="004524BB" w:rsidP="003C24A4">
      <w:pPr>
        <w:pStyle w:val="Puce1"/>
        <w:numPr>
          <w:ilvl w:val="0"/>
          <w:numId w:val="0"/>
        </w:numPr>
        <w:ind w:left="567" w:right="-28"/>
        <w:jc w:val="both"/>
        <w:rPr>
          <w:rFonts w:ascii="Arial" w:hAnsi="Arial" w:cs="Arial"/>
          <w:b/>
          <w:sz w:val="22"/>
          <w:szCs w:val="22"/>
        </w:rPr>
      </w:pP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68B84EC8" w14:textId="77777777" w:rsidR="004524BB" w:rsidRDefault="004524BB">
      <w:pPr>
        <w:tabs>
          <w:tab w:val="left" w:pos="993"/>
          <w:tab w:val="left" w:pos="1560"/>
          <w:tab w:val="left" w:pos="2268"/>
        </w:tabs>
        <w:spacing w:before="120"/>
        <w:ind w:left="567" w:right="-28"/>
        <w:jc w:val="both"/>
        <w:rPr>
          <w:rFonts w:ascii="Arial" w:hAnsi="Arial" w:cs="Arial"/>
          <w:sz w:val="22"/>
          <w:szCs w:val="22"/>
        </w:rPr>
      </w:pPr>
    </w:p>
    <w:p w14:paraId="7713FBCE" w14:textId="29CD95BF" w:rsidR="00D57C8E" w:rsidRDefault="00D57C8E" w:rsidP="004524BB">
      <w:pPr>
        <w:tabs>
          <w:tab w:val="left" w:pos="993"/>
          <w:tab w:val="left" w:pos="1560"/>
          <w:tab w:val="left" w:pos="2268"/>
        </w:tabs>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4EF696EE" w14:textId="77777777" w:rsidR="004524BB" w:rsidRPr="00EE2373" w:rsidRDefault="004524BB" w:rsidP="004524BB">
      <w:pPr>
        <w:tabs>
          <w:tab w:val="left" w:pos="993"/>
          <w:tab w:val="left" w:pos="1560"/>
          <w:tab w:val="left" w:pos="2268"/>
        </w:tabs>
        <w:ind w:left="567" w:right="-28"/>
        <w:jc w:val="both"/>
        <w:rPr>
          <w:rFonts w:ascii="Arial" w:hAnsi="Arial" w:cs="Arial"/>
          <w:sz w:val="22"/>
          <w:szCs w:val="22"/>
        </w:rPr>
      </w:pP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20AFDF8D"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4524BB">
      <w:pPr>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rsidP="004524BB">
      <w:pPr>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F1DB758" w:rsidR="00F97846" w:rsidRPr="00EE2373" w:rsidRDefault="00F97846" w:rsidP="004524BB">
      <w:pPr>
        <w:pStyle w:val="Corpsdetexte"/>
        <w:spacing w:before="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216CC9">
        <w:rPr>
          <w:rFonts w:cs="Arial"/>
          <w:sz w:val="22"/>
          <w:szCs w:val="22"/>
          <w:lang w:val="fr-FR" w:eastAsia="fr-FR"/>
        </w:rPr>
        <w:t>-Anne</w:t>
      </w:r>
      <w:r w:rsidR="00EB42C1">
        <w:rPr>
          <w:rFonts w:cs="Arial"/>
          <w:sz w:val="22"/>
          <w:szCs w:val="22"/>
          <w:lang w:val="fr-FR" w:eastAsia="fr-FR"/>
        </w:rPr>
        <w:t xml:space="preserv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541EF88" w14:textId="5D363ADE" w:rsidR="0078721F" w:rsidRDefault="00C379D9" w:rsidP="004524BB">
      <w:pPr>
        <w:pStyle w:val="Corpsdetexte"/>
        <w:spacing w:before="60" w:line="240" w:lineRule="auto"/>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231F9334" w14:textId="77777777" w:rsidR="00FF03F8" w:rsidRPr="00EE2373" w:rsidRDefault="00FF03F8" w:rsidP="004524BB">
      <w:pPr>
        <w:pStyle w:val="Corpsdetexte"/>
        <w:spacing w:line="240" w:lineRule="auto"/>
        <w:ind w:left="567"/>
        <w:jc w:val="both"/>
        <w:rPr>
          <w:rFonts w:cs="Arial"/>
          <w:sz w:val="22"/>
          <w:szCs w:val="22"/>
          <w:lang w:val="fr-FR" w:eastAsia="fr-FR"/>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5E7F03F2" w:rsidR="00D57C8E" w:rsidRDefault="00D57C8E">
      <w:pPr>
        <w:pStyle w:val="Corpsdetexte"/>
        <w:spacing w:line="240" w:lineRule="auto"/>
        <w:ind w:left="567"/>
        <w:jc w:val="both"/>
        <w:rPr>
          <w:rFonts w:cs="Arial"/>
          <w:sz w:val="22"/>
          <w:szCs w:val="22"/>
        </w:rPr>
      </w:pPr>
      <w:r w:rsidRPr="00EE2373">
        <w:rPr>
          <w:rFonts w:cs="Arial"/>
          <w:sz w:val="22"/>
          <w:szCs w:val="22"/>
        </w:rPr>
        <w:t>Pour ce faire, un protocole de sécurité est établi entre le titulaire et le transporteur c</w:t>
      </w:r>
      <w:r w:rsidR="004524BB">
        <w:rPr>
          <w:rFonts w:cs="Arial"/>
          <w:sz w:val="22"/>
          <w:szCs w:val="22"/>
        </w:rPr>
        <w:t>onformément au code du travail.</w:t>
      </w:r>
    </w:p>
    <w:p w14:paraId="49C74457" w14:textId="77777777" w:rsidR="004524BB" w:rsidRPr="00EE2373" w:rsidRDefault="004524BB">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0" w:name="_Toc146685927"/>
      <w:bookmarkStart w:id="1" w:name="_Ref147287471"/>
      <w:bookmarkStart w:id="2" w:name="_Ref147288002"/>
      <w:bookmarkStart w:id="3" w:name="_Toc116463831"/>
      <w:bookmarkStart w:id="4"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1FD3B8BB" w:rsidR="00A328DB" w:rsidRDefault="00A328DB" w:rsidP="003D7664">
      <w:pPr>
        <w:spacing w:before="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p>
    <w:p w14:paraId="1862972E" w14:textId="102F58F6" w:rsidR="004524BB" w:rsidRDefault="004524BB" w:rsidP="003D7664">
      <w:pPr>
        <w:ind w:left="567" w:right="-28"/>
        <w:jc w:val="both"/>
        <w:rPr>
          <w:rFonts w:ascii="Arial" w:hAnsi="Arial" w:cs="Arial"/>
          <w:sz w:val="22"/>
          <w:szCs w:val="22"/>
        </w:rPr>
      </w:pPr>
    </w:p>
    <w:p w14:paraId="03748A0C" w14:textId="77777777" w:rsidR="004524BB" w:rsidRPr="00EE2373" w:rsidRDefault="004524BB" w:rsidP="003D7664">
      <w:pPr>
        <w:ind w:left="567" w:right="-28"/>
        <w:jc w:val="both"/>
        <w:rPr>
          <w:rFonts w:ascii="Arial" w:hAnsi="Arial" w:cs="Arial"/>
          <w:sz w:val="22"/>
          <w:szCs w:val="22"/>
        </w:rPr>
      </w:pPr>
    </w:p>
    <w:bookmarkEnd w:id="0"/>
    <w:bookmarkEnd w:id="1"/>
    <w:bookmarkEnd w:id="2"/>
    <w:bookmarkEnd w:id="3"/>
    <w:bookmarkEnd w:id="4"/>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26ACC3AC"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63447F74"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w:t>
      </w:r>
      <w:r w:rsidR="004524BB">
        <w:rPr>
          <w:rFonts w:ascii="Arial" w:hAnsi="Arial" w:cs="Arial"/>
          <w:caps w:val="0"/>
          <w:dstrike w:val="0"/>
          <w:szCs w:val="22"/>
        </w:rPr>
        <w:t>’est pas notifiée au titulaire.</w:t>
      </w:r>
    </w:p>
    <w:p w14:paraId="55DA6460" w14:textId="0BFE3F78" w:rsidR="004524BB" w:rsidRDefault="004524BB" w:rsidP="004524BB"/>
    <w:p w14:paraId="33D58961" w14:textId="77777777" w:rsidR="004524BB" w:rsidRPr="004524BB" w:rsidRDefault="004524BB" w:rsidP="004524BB"/>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0098C77" w:rsidR="00A328DB" w:rsidRDefault="00A328DB" w:rsidP="004524BB">
      <w:pPr>
        <w:pStyle w:val="Paragraphe1"/>
        <w:spacing w:before="0"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295E872D" w14:textId="58A4D5D7" w:rsidR="004524BB" w:rsidRDefault="004524BB" w:rsidP="004524BB">
      <w:pPr>
        <w:pStyle w:val="Paragraphe1"/>
        <w:spacing w:before="0" w:after="0"/>
        <w:ind w:left="567"/>
        <w:rPr>
          <w:rFonts w:ascii="Arial" w:hAnsi="Arial" w:cs="Arial"/>
          <w:sz w:val="22"/>
        </w:rPr>
      </w:pPr>
    </w:p>
    <w:p w14:paraId="46AC8514" w14:textId="77777777" w:rsidR="004524BB" w:rsidRPr="00EE2373" w:rsidRDefault="004524BB" w:rsidP="004524BB">
      <w:pPr>
        <w:pStyle w:val="Paragraphe1"/>
        <w:spacing w:before="0" w:after="0"/>
        <w:ind w:left="567"/>
        <w:rPr>
          <w:rFonts w:ascii="Arial" w:hAnsi="Arial" w:cs="Arial"/>
          <w:sz w:val="22"/>
        </w:rPr>
      </w:pP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8pt;height:27.5pt" o:ole="" fillcolor="window">
            <v:imagedata r:id="rId17" o:title=""/>
          </v:shape>
          <o:OLEObject Type="Embed" ProgID="Equation.3" ShapeID="_x0000_i1029" DrawAspect="Content" ObjectID="_1822565036"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5"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1FEEEA51" w:rsidR="00676CF1"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2B9FDDEC" w14:textId="23BC4090" w:rsidR="004524BB" w:rsidRDefault="004524BB" w:rsidP="004524BB">
      <w:pPr>
        <w:pStyle w:val="Corpsdetexte"/>
        <w:spacing w:line="240" w:lineRule="auto"/>
        <w:rPr>
          <w:sz w:val="22"/>
          <w:szCs w:val="22"/>
        </w:rPr>
      </w:pPr>
    </w:p>
    <w:p w14:paraId="0805AAC9" w14:textId="77777777" w:rsidR="004524BB" w:rsidRPr="00340F60" w:rsidRDefault="004524BB" w:rsidP="004524BB">
      <w:pPr>
        <w:pStyle w:val="Corpsdetexte"/>
        <w:spacing w:line="240" w:lineRule="auto"/>
        <w:rPr>
          <w:sz w:val="22"/>
          <w:szCs w:val="22"/>
        </w:rPr>
      </w:pP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5"/>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0EBC860F" w14:textId="77777777" w:rsidR="004524BB" w:rsidRDefault="004524BB" w:rsidP="00A80196">
      <w:pPr>
        <w:spacing w:before="120"/>
        <w:ind w:left="426"/>
        <w:jc w:val="both"/>
        <w:rPr>
          <w:rFonts w:ascii="Arial" w:hAnsi="Arial" w:cs="Arial"/>
          <w:sz w:val="22"/>
          <w:szCs w:val="22"/>
        </w:rPr>
      </w:pPr>
    </w:p>
    <w:p w14:paraId="65C66037" w14:textId="4F0BB21B"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370C90" w:rsidR="00A80196" w:rsidRDefault="00A80196" w:rsidP="004524BB">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5E9E92D" w14:textId="77777777" w:rsidR="004524BB" w:rsidRPr="00EE2373" w:rsidRDefault="004524BB" w:rsidP="004524BB">
      <w:pPr>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261B2063"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79B63247" w14:textId="77777777" w:rsidR="004524BB" w:rsidRPr="00EE2373" w:rsidRDefault="004524BB" w:rsidP="00910ECF">
      <w:pPr>
        <w:ind w:left="426"/>
        <w:jc w:val="both"/>
        <w:rPr>
          <w:rFonts w:ascii="Arial" w:hAnsi="Arial" w:cs="Arial"/>
          <w:bCs/>
          <w:sz w:val="22"/>
          <w:szCs w:val="22"/>
        </w:rPr>
      </w:pP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6"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6"/>
    </w:p>
    <w:p w14:paraId="5B39BAAD" w14:textId="142FD5D7" w:rsidR="001E5E8F" w:rsidRDefault="001E5E8F" w:rsidP="004524BB">
      <w:pPr>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w:t>
      </w:r>
      <w:proofErr w:type="gramStart"/>
      <w:r w:rsidRPr="00EE2373">
        <w:rPr>
          <w:rFonts w:ascii="Arial" w:hAnsi="Arial" w:cs="Arial"/>
          <w:sz w:val="22"/>
          <w:szCs w:val="22"/>
        </w:rPr>
        <w:t>la</w:t>
      </w:r>
      <w:proofErr w:type="gramEnd"/>
      <w:r w:rsidRPr="00EE2373">
        <w:rPr>
          <w:rFonts w:ascii="Arial" w:hAnsi="Arial" w:cs="Arial"/>
          <w:sz w:val="22"/>
          <w:szCs w:val="22"/>
        </w:rPr>
        <w:t xml:space="preserve">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0A2B59FF" w14:textId="77777777" w:rsidR="004524BB" w:rsidRPr="00EE2373" w:rsidRDefault="004524BB" w:rsidP="004524BB">
      <w:pPr>
        <w:ind w:left="425" w:right="-28" w:firstLine="1"/>
        <w:jc w:val="both"/>
        <w:outlineLvl w:val="0"/>
        <w:rPr>
          <w:rFonts w:ascii="Arial" w:hAnsi="Arial" w:cs="Arial"/>
          <w:sz w:val="22"/>
          <w:szCs w:val="22"/>
        </w:rPr>
      </w:pP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693949BC"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55CE90E8" w14:textId="74325167" w:rsidR="004524BB" w:rsidRDefault="004524BB" w:rsidP="004524BB">
      <w:pPr>
        <w:jc w:val="both"/>
        <w:rPr>
          <w:rFonts w:ascii="Arial" w:hAnsi="Arial" w:cs="Arial"/>
          <w:sz w:val="22"/>
          <w:szCs w:val="22"/>
        </w:rPr>
      </w:pPr>
    </w:p>
    <w:p w14:paraId="4969E217" w14:textId="77777777" w:rsidR="004524BB" w:rsidRPr="00EE2373" w:rsidRDefault="004524BB" w:rsidP="004524BB">
      <w:pPr>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1EB16D8F"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17C4C897" w14:textId="49E1645E" w:rsidR="004524BB" w:rsidRDefault="004524BB" w:rsidP="004524BB">
      <w:pPr>
        <w:ind w:left="567" w:right="-28"/>
        <w:jc w:val="both"/>
        <w:rPr>
          <w:rFonts w:ascii="Arial" w:hAnsi="Arial" w:cs="Arial"/>
          <w:sz w:val="22"/>
          <w:szCs w:val="22"/>
        </w:rPr>
      </w:pPr>
    </w:p>
    <w:p w14:paraId="66D43A05" w14:textId="5936D519" w:rsidR="004524BB" w:rsidRDefault="004524BB" w:rsidP="004524BB">
      <w:pPr>
        <w:ind w:left="567" w:right="-28"/>
        <w:jc w:val="both"/>
        <w:rPr>
          <w:rFonts w:ascii="Arial" w:hAnsi="Arial" w:cs="Arial"/>
          <w:sz w:val="22"/>
          <w:szCs w:val="22"/>
        </w:rPr>
      </w:pPr>
    </w:p>
    <w:p w14:paraId="2799F727" w14:textId="08EF8454" w:rsidR="003D7664" w:rsidRDefault="003D7664" w:rsidP="004524BB">
      <w:pPr>
        <w:ind w:left="567" w:right="-28"/>
        <w:jc w:val="both"/>
        <w:rPr>
          <w:rFonts w:ascii="Arial" w:hAnsi="Arial" w:cs="Arial"/>
          <w:sz w:val="22"/>
          <w:szCs w:val="22"/>
        </w:rPr>
      </w:pPr>
    </w:p>
    <w:p w14:paraId="67B4372C" w14:textId="77777777" w:rsidR="003D7664" w:rsidRPr="00EE2373" w:rsidRDefault="003D7664" w:rsidP="004524BB">
      <w:pPr>
        <w:ind w:left="567" w:right="-28"/>
        <w:jc w:val="both"/>
        <w:rPr>
          <w:rFonts w:ascii="Arial" w:hAnsi="Arial" w:cs="Arial"/>
          <w:sz w:val="22"/>
          <w:szCs w:val="22"/>
        </w:rPr>
      </w:pPr>
      <w:bookmarkStart w:id="7" w:name="_GoBack"/>
      <w:bookmarkEnd w:id="7"/>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31D3A2A1"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1F12D96D" w14:textId="39C92E71" w:rsidR="004524BB" w:rsidRDefault="004524BB" w:rsidP="004524BB">
      <w:pPr>
        <w:tabs>
          <w:tab w:val="left" w:pos="567"/>
        </w:tabs>
        <w:ind w:right="-28"/>
        <w:jc w:val="both"/>
        <w:rPr>
          <w:rFonts w:ascii="Arial" w:hAnsi="Arial" w:cs="Arial"/>
          <w:sz w:val="22"/>
          <w:szCs w:val="22"/>
        </w:rPr>
      </w:pPr>
    </w:p>
    <w:p w14:paraId="7607815C" w14:textId="77777777" w:rsidR="004524BB" w:rsidRPr="00EE2373" w:rsidRDefault="004524BB" w:rsidP="004524BB">
      <w:pPr>
        <w:tabs>
          <w:tab w:val="left" w:pos="567"/>
        </w:tabs>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4524BB">
      <w:pPr>
        <w:pStyle w:val="Corpsdetexte"/>
        <w:spacing w:before="120"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524BB">
      <w:pPr>
        <w:pStyle w:val="Corpsdetexte"/>
        <w:spacing w:before="120"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524BB">
      <w:pPr>
        <w:pStyle w:val="Corpsdetexte"/>
        <w:spacing w:before="120"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524BB">
      <w:pPr>
        <w:spacing w:before="120"/>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76451E98" w14:textId="13047D3E" w:rsidR="00B1359D" w:rsidRPr="00EE2373" w:rsidRDefault="00C62523" w:rsidP="004524BB">
      <w:pPr>
        <w:spacing w:before="120"/>
        <w:ind w:left="567"/>
        <w:jc w:val="both"/>
        <w:rPr>
          <w:rFonts w:ascii="Arial" w:hAnsi="Arial" w:cs="Arial"/>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5466B28A" w:rsidR="00EE5E00" w:rsidRPr="00DB0E1F" w:rsidRDefault="00EE5E00">
    <w:pPr>
      <w:pStyle w:val="Notedebasdepage"/>
      <w:tabs>
        <w:tab w:val="left" w:pos="6521"/>
      </w:tabs>
      <w:ind w:right="-114"/>
      <w:rPr>
        <w:rStyle w:val="Numrodepage"/>
        <w:i/>
        <w:iCs/>
        <w:noProof/>
        <w:color w:val="000000" w:themeColor="text1"/>
        <w:sz w:val="16"/>
        <w:szCs w:val="16"/>
      </w:rPr>
    </w:pPr>
    <w:r>
      <w:rPr>
        <w:rStyle w:val="Numrodepage"/>
      </w:rPr>
      <w:t xml:space="preserve">Marché N° S </w:t>
    </w:r>
    <w:r w:rsidR="00DB0E1F">
      <w:rPr>
        <w:rStyle w:val="Numrodepage"/>
      </w:rPr>
      <w:t>25</w:t>
    </w:r>
    <w:r>
      <w:rPr>
        <w:rStyle w:val="Numrodepage"/>
      </w:rPr>
      <w:t xml:space="preserve"> B</w:t>
    </w:r>
    <w:r w:rsidR="00F03730">
      <w:rPr>
        <w:rStyle w:val="Numrodepage"/>
      </w:rPr>
      <w:t>0</w:t>
    </w:r>
    <w:r w:rsidR="001C45E6">
      <w:rPr>
        <w:rStyle w:val="Numrodepage"/>
      </w:rPr>
      <w:t>0</w:t>
    </w:r>
    <w:r w:rsidR="00F03730">
      <w:rPr>
        <w:rStyle w:val="Numrodepage"/>
      </w:rPr>
      <w:t>710</w:t>
    </w:r>
    <w:r w:rsidR="00DB0E1F">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3D7664">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3D7664">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sidRPr="00DB0E1F">
      <w:rPr>
        <w:rStyle w:val="Numrodepage"/>
        <w:i/>
        <w:iCs/>
        <w:noProof/>
        <w:color w:val="000000" w:themeColor="text1"/>
        <w:sz w:val="16"/>
        <w:szCs w:val="16"/>
      </w:rPr>
      <w:t xml:space="preserve">– </w:t>
    </w:r>
    <w:r w:rsidR="00B24AFA" w:rsidRPr="00DB0E1F">
      <w:rPr>
        <w:rStyle w:val="Numrodepage"/>
        <w:i/>
        <w:iCs/>
        <w:noProof/>
        <w:color w:val="000000" w:themeColor="text1"/>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294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2B8"/>
    <w:rsid w:val="00070863"/>
    <w:rsid w:val="00070F54"/>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45E6"/>
    <w:rsid w:val="001C6E3F"/>
    <w:rsid w:val="001E280B"/>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B493F"/>
    <w:rsid w:val="003C24A4"/>
    <w:rsid w:val="003C388B"/>
    <w:rsid w:val="003C7ADB"/>
    <w:rsid w:val="003D0108"/>
    <w:rsid w:val="003D7664"/>
    <w:rsid w:val="003E706A"/>
    <w:rsid w:val="003F01A7"/>
    <w:rsid w:val="003F038E"/>
    <w:rsid w:val="003F25A1"/>
    <w:rsid w:val="003F5216"/>
    <w:rsid w:val="00401764"/>
    <w:rsid w:val="00405699"/>
    <w:rsid w:val="00422AA7"/>
    <w:rsid w:val="0042652B"/>
    <w:rsid w:val="00426E08"/>
    <w:rsid w:val="00432739"/>
    <w:rsid w:val="00440275"/>
    <w:rsid w:val="00441F7A"/>
    <w:rsid w:val="004524BB"/>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D566B"/>
    <w:rsid w:val="005E27B5"/>
    <w:rsid w:val="005E2F4F"/>
    <w:rsid w:val="00612ABF"/>
    <w:rsid w:val="0061603E"/>
    <w:rsid w:val="0062587B"/>
    <w:rsid w:val="00626BF9"/>
    <w:rsid w:val="00630C4E"/>
    <w:rsid w:val="00635459"/>
    <w:rsid w:val="00635511"/>
    <w:rsid w:val="006645AB"/>
    <w:rsid w:val="006657A0"/>
    <w:rsid w:val="00676865"/>
    <w:rsid w:val="00676CF1"/>
    <w:rsid w:val="00681BE4"/>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2B75"/>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73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19AB"/>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0E1F"/>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730"/>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2945"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hyperlink" Target="https://fr.wikipedia.org/wiki/Organisation_mondiale_des_douanes" TargetMode="External"/><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F1309-6546-440A-B48E-ED1139CEB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9</Pages>
  <Words>3696</Words>
  <Characters>20356</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24004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BOUDEHEN Fabienne TSEF 2E CLASSE DEF</cp:lastModifiedBy>
  <cp:revision>14</cp:revision>
  <cp:lastPrinted>2022-06-10T09:24:00Z</cp:lastPrinted>
  <dcterms:created xsi:type="dcterms:W3CDTF">2025-05-19T07:15:00Z</dcterms:created>
  <dcterms:modified xsi:type="dcterms:W3CDTF">2025-10-21T13:17:00Z</dcterms:modified>
</cp:coreProperties>
</file>